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A31532" w:rsidRPr="007F7EE4" w:rsidRDefault="00A31532" w:rsidP="00A31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31532" w:rsidRPr="007F7EE4" w:rsidRDefault="004B2010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07.04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A31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A31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№ 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83</w:t>
      </w:r>
    </w:p>
    <w:p w:rsidR="00A31532" w:rsidRPr="007F7EE4" w:rsidRDefault="00A31532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32" w:rsidRPr="007F7EE4" w:rsidRDefault="00A31532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отчета об исполнения бюджета муниципального </w:t>
      </w: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</w:t>
      </w: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области» за  2020 год»</w:t>
      </w: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представленный Главой </w:t>
      </w:r>
      <w:proofErr w:type="spellStart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«Отчет об исполнении бюджета муниципального образования «</w:t>
      </w:r>
      <w:proofErr w:type="spellStart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 за 2020 год», 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пунктом 4 Положения о бюджетном процессе в муниципальном образовании «</w:t>
      </w:r>
      <w:proofErr w:type="spellStart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сельское поселение», утвержденного решением Совета</w:t>
      </w:r>
      <w:proofErr w:type="gramEnd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26.12.2007 № 12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4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об исполнении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 за 2020 год по доходам в сумме 14 705 151 рубль 01 копейка (99,6 %) в 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собственным доходам в сумме  3 693 552 рубля 95  копеек (98 %) и по расходам в сумме 15 353 207 рублей 13 копеек (97,5 %) с дефицитом местного бюджета в</w:t>
      </w:r>
      <w:proofErr w:type="gram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648 056 рублей 12 копеек.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доходов бюджета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Асиновского района Томской области по кодам классификации доходов бюджета, согласно приложению № 1 к настоящему решению.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исполнение доходов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2 к настоящему решению.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Утвердить 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Асиновского района Томской области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ведомственной структуре </w:t>
      </w:r>
      <w:r w:rsidRPr="004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соответствующего бюджета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3 к настоящему решению.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Утвердить 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расходов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классификации расходов бюджета, 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4 к настоящему решению.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Утвердить 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gram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Асиновского района Томской области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бюджета, </w:t>
      </w:r>
      <w:r w:rsidRPr="004B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5 к настоящему решению.</w:t>
      </w:r>
    </w:p>
    <w:p w:rsidR="004B2010" w:rsidRPr="004B2010" w:rsidRDefault="004B2010" w:rsidP="004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Pr="004B20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4B2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010" w:rsidRPr="004B2010" w:rsidRDefault="004B2010" w:rsidP="004B20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proofErr w:type="spellStart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             А.В. Карпенко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1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4B2010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iCs/>
          <w:lang w:eastAsia="ru-RU"/>
        </w:rPr>
        <w:t>07.04.2021</w:t>
      </w: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lang w:eastAsia="ru-RU"/>
        </w:rPr>
        <w:t>183</w:t>
      </w:r>
    </w:p>
    <w:p w:rsidR="004B2010" w:rsidRPr="004B2010" w:rsidRDefault="004B2010" w:rsidP="004B2010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4B2010">
        <w:rPr>
          <w:rFonts w:ascii="Times New Roman" w:eastAsia="Times New Roman" w:hAnsi="Times New Roman" w:cs="Times New Roman"/>
          <w:bCs/>
          <w:lang w:eastAsia="x-none"/>
        </w:rPr>
        <w:t xml:space="preserve">     </w:t>
      </w:r>
    </w:p>
    <w:p w:rsidR="004B2010" w:rsidRPr="004B2010" w:rsidRDefault="004B2010" w:rsidP="004B2010">
      <w:pPr>
        <w:spacing w:after="0" w:line="240" w:lineRule="auto"/>
        <w:ind w:left="6804" w:hanging="432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доходов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</w:t>
      </w:r>
      <w:r w:rsidRPr="004B2010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r w:rsidRPr="004B201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кодам классификации доходов бюджетов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4B2010" w:rsidRPr="004B2010" w:rsidTr="00077250">
        <w:trPr>
          <w:trHeight w:val="841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</w:t>
            </w:r>
            <w:proofErr w:type="gramStart"/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 </w:t>
            </w:r>
            <w:proofErr w:type="gramEnd"/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4B2010" w:rsidRPr="004B2010" w:rsidTr="00077250">
        <w:trPr>
          <w:trHeight w:val="554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101020000100000110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Налог на доход физических  лиц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821 585,00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862 821,61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4B2010" w:rsidRPr="004B2010" w:rsidTr="00077250">
        <w:trPr>
          <w:trHeight w:val="562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1 554 000,00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1 407 382,20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4B2010" w:rsidRPr="004B2010" w:rsidTr="00077250">
        <w:trPr>
          <w:trHeight w:val="631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10601000000000 110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155 769,22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189 731,31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</w:tr>
      <w:tr w:rsidR="004B2010" w:rsidRPr="004B2010" w:rsidTr="00077250">
        <w:trPr>
          <w:trHeight w:val="338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10606000000000110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344 688,17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353 430,64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4B2010" w:rsidRPr="004B2010" w:rsidTr="00077250">
        <w:trPr>
          <w:trHeight w:val="3437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11105000000000 120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91 391,24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91 391,47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078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11109045100000120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162 183,65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162 183,65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48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 11406000000000430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находящихся в государственной и муниципальной </w:t>
            </w: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618 828,00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618 828,00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48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11610000000000140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причиненного ущерба (убытков)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7 776,37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7 784,07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48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собственных доходов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3 756 221,65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3 693 552,95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98</w:t>
            </w:r>
          </w:p>
        </w:tc>
      </w:tr>
      <w:tr w:rsidR="004B2010" w:rsidRPr="004B2010" w:rsidTr="00077250">
        <w:trPr>
          <w:trHeight w:val="1065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20215001100000150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322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20235118100000150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322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15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2964" w:type="dxa"/>
            <w:vAlign w:val="bottom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5 325 731,88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5 325 731,88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15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20705000100000150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354 626,18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354 626,18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15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11 011 598,06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11 011 598,06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5430" w:type="dxa"/>
            <w:gridSpan w:val="2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14 767 819,71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14 705 151,01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99,6</w:t>
            </w:r>
          </w:p>
        </w:tc>
      </w:tr>
    </w:tbl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2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4B2010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iCs/>
          <w:lang w:eastAsia="ru-RU"/>
        </w:rPr>
        <w:t>07.04.2021</w:t>
      </w: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lang w:eastAsia="ru-RU"/>
        </w:rPr>
        <w:t>183</w:t>
      </w: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доходов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 </w:t>
      </w:r>
      <w:r w:rsidRPr="004B201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tbl>
      <w:tblPr>
        <w:tblpPr w:leftFromText="180" w:rightFromText="180" w:vertAnchor="text" w:horzAnchor="margin" w:tblpXSpec="center" w:tblpY="186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964"/>
        <w:gridCol w:w="1746"/>
        <w:gridCol w:w="1559"/>
        <w:gridCol w:w="1843"/>
      </w:tblGrid>
      <w:tr w:rsidR="004B2010" w:rsidRPr="004B2010" w:rsidTr="00077250">
        <w:trPr>
          <w:trHeight w:val="841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доходов, расходов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Исполнение %</w:t>
            </w:r>
          </w:p>
        </w:tc>
      </w:tr>
      <w:tr w:rsidR="004B2010" w:rsidRPr="004B2010" w:rsidTr="00077250">
        <w:trPr>
          <w:trHeight w:val="2392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10102010010000110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821 585,00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840 378,46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</w:tr>
      <w:tr w:rsidR="004B2010" w:rsidRPr="004B2010" w:rsidTr="00077250">
        <w:trPr>
          <w:trHeight w:val="841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 10102030010000 110</w:t>
            </w:r>
          </w:p>
        </w:tc>
        <w:tc>
          <w:tcPr>
            <w:tcW w:w="2964" w:type="dxa"/>
            <w:vAlign w:val="bottom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22 443,15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4B2010" w:rsidRPr="004B2010" w:rsidTr="00077250">
        <w:trPr>
          <w:trHeight w:val="841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10302230010000110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731 000,00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649 137,80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</w:tr>
      <w:tr w:rsidR="004B2010" w:rsidRPr="004B2010" w:rsidTr="00077250">
        <w:trPr>
          <w:trHeight w:val="554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10302240010000110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5 000,00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4 643,10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4B2010" w:rsidRPr="004B2010" w:rsidTr="00077250">
        <w:trPr>
          <w:trHeight w:val="562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10302250010000110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950 000,00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873 272,74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</w:tr>
      <w:tr w:rsidR="004B2010" w:rsidRPr="004B2010" w:rsidTr="00077250">
        <w:trPr>
          <w:trHeight w:val="1917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10302260010000110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-132 000,00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-119 671,44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4B2010" w:rsidRPr="004B2010" w:rsidTr="00077250">
        <w:trPr>
          <w:trHeight w:val="631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10601030101000 110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155 769,22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160 724,47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4B2010" w:rsidRPr="004B2010" w:rsidTr="00077250">
        <w:trPr>
          <w:trHeight w:val="631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 10601030102000 110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29 006,84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B2010" w:rsidRPr="004B2010" w:rsidTr="00077250">
        <w:trPr>
          <w:trHeight w:val="2114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10606033100000110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56 613,13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56 713,13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154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1060604310000110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288 075,04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296 717,51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4B2010" w:rsidRPr="004B2010" w:rsidTr="00077250">
        <w:trPr>
          <w:trHeight w:val="2154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11105025100000120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91 391,24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91 391,47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399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1110904510000120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162 183,65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162 183,65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399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11406025100000430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r w:rsidRPr="004B201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</w:t>
            </w:r>
          </w:p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618 828,00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618 828,00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399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11610061100000140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</w:t>
            </w: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6 776,37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6 776,37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399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11610123010101140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1 007,70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4B2010" w:rsidRPr="004B2010" w:rsidTr="00077250">
        <w:trPr>
          <w:trHeight w:val="686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20215001100000151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4 967 240,00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273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20235118100000151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276 400,00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980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20240014100000151</w:t>
            </w:r>
          </w:p>
        </w:tc>
        <w:tc>
          <w:tcPr>
            <w:tcW w:w="2964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87 600,00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87 600,00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15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20249999100000151</w:t>
            </w:r>
          </w:p>
        </w:tc>
        <w:tc>
          <w:tcPr>
            <w:tcW w:w="2964" w:type="dxa"/>
            <w:vAlign w:val="bottom"/>
          </w:tcPr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5 325 731,88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5 325 731,88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15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20705020100000150</w:t>
            </w:r>
          </w:p>
        </w:tc>
        <w:tc>
          <w:tcPr>
            <w:tcW w:w="2964" w:type="dxa"/>
            <w:vAlign w:val="bottom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142 224,33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142 224,33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15"/>
        </w:trPr>
        <w:tc>
          <w:tcPr>
            <w:tcW w:w="246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20705030100000150</w:t>
            </w:r>
          </w:p>
        </w:tc>
        <w:tc>
          <w:tcPr>
            <w:tcW w:w="2964" w:type="dxa"/>
            <w:vAlign w:val="bottom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  <w:p w:rsidR="004B2010" w:rsidRPr="004B2010" w:rsidRDefault="004B2010" w:rsidP="004B2010">
            <w:pPr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212 401,85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212 401,85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5430" w:type="dxa"/>
            <w:gridSpan w:val="2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ВСЕГО  ДОХОДОВ</w:t>
            </w:r>
          </w:p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14 767 819,71</w:t>
            </w:r>
          </w:p>
        </w:tc>
        <w:tc>
          <w:tcPr>
            <w:tcW w:w="155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14 705 151,01</w:t>
            </w:r>
          </w:p>
        </w:tc>
        <w:tc>
          <w:tcPr>
            <w:tcW w:w="1843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101</w:t>
            </w:r>
          </w:p>
        </w:tc>
      </w:tr>
    </w:tbl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3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4B2010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iCs/>
          <w:lang w:eastAsia="ru-RU"/>
        </w:rPr>
        <w:t>07.04.2021</w:t>
      </w: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iCs/>
          <w:lang w:eastAsia="ru-RU"/>
        </w:rPr>
        <w:t>183</w:t>
      </w: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расходов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 </w:t>
      </w:r>
      <w:r w:rsidRPr="004B201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ведомственной структуре расходов соответствующего бюджета</w:t>
      </w: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998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896"/>
        <w:gridCol w:w="560"/>
        <w:gridCol w:w="812"/>
        <w:gridCol w:w="1388"/>
        <w:gridCol w:w="879"/>
        <w:gridCol w:w="1470"/>
        <w:gridCol w:w="1470"/>
        <w:gridCol w:w="798"/>
      </w:tblGrid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ведом-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</w:t>
            </w:r>
            <w:proofErr w:type="spellEnd"/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Под-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Целевая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План,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Факт,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Исполнение, %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15 748 736,54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15 353 207,13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97,5</w:t>
            </w:r>
          </w:p>
        </w:tc>
      </w:tr>
      <w:tr w:rsidR="004B2010" w:rsidRPr="004B2010" w:rsidTr="00077250">
        <w:trPr>
          <w:trHeight w:val="458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6 284 658,39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6 284 658,39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6500200100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6500200100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801 470,90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«Совершенствование межбюджетных отношений в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Новокусковском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5050200000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Межбюджетные трансферты 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825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4 574 263,74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5050100000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4 570 763,74 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4 570 763,74 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«Руководство и 1управление установленных функций органов местного самоуправления»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70"/>
        </w:trPr>
        <w:tc>
          <w:tcPr>
            <w:tcW w:w="2725" w:type="dxa"/>
          </w:tcPr>
          <w:p w:rsidR="004B2010" w:rsidRPr="004B2010" w:rsidRDefault="004B2010" w:rsidP="004B20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3 278 903,08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4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</w:t>
            </w:r>
            <w:proofErr w:type="gram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1 291 860,66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1 291 860,66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1 285 860,66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1 285 860,66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5050102000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Новокусковском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5050200000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65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898 923,75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898 923,75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3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3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854 623,75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814 018,20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814 018,20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40 605,55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40 605,55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44 300,00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40 800,00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40 800,00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01 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37 800,00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Социальное обеспечение и </w:t>
            </w: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Новокусковском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сельском поселении»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</w:t>
            </w: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Межбюджетные трансферты 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5050201000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276 400,00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276 400,00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500251180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и(</w:t>
            </w:r>
            <w:proofErr w:type="gramEnd"/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6500251180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276 400,00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72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278 620,00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278 620,00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122 620,00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122 620,00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lastRenderedPageBreak/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72 620,00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22 620,00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Межбюджетные трансферты на реализацию муниципальной программы «Социально-демографическое развитие Асиновского района Томской области на 2016-2021 годы» в части организации работ по уничтожению дикорастущего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наркосодержащего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растения (конопли)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50301Н3000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50301Н3000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6300000000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предоставляемые бюджетам поселений за счет бюджетных ассигнований Резервного фонда администрации Асиновского района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6300800000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6300800000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Обеспечение пожарной безопасности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</w:t>
            </w: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156 000,00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и проведение противопожарных мероприятий»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124 000,00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на реализацию муниципальной программы «Повышение безопасности населения Асиновского района Томской области на 2016-2021 годы», в том числе: Основное мероприятие на создание минерализованных полос вокруг населенных пунктов»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50301В0100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50301В0100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2 871 939,75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2 871 939,75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Сельское хозяйство и рыболовство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169 788,50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6500240230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межбюджетные трансферты на проведение кадастровых работ по оформлению земельных 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участков в собственность муниципальных образований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6500240230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152 809,65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S0230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65002S0230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16 978,85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2 585 151,25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1 522 733,00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1 522 733,00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1 522 733,00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1 522 733,00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62 418,25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реализацию мероприятия «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50401Д3000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7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50401Д3000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1 000 000,00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4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67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117000,00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Землеустройство и землепользование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6500200500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0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6500200500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117 000,00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5 714 387,12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5 318 857,71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93,1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Жилищное хозяйство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486 789,39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91 259,98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65 082,62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 Ремонт и содержание муниципального жилищного фонда»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4B2010" w:rsidRPr="004B2010" w:rsidTr="00077250">
        <w:trPr>
          <w:trHeight w:val="36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5020101000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421 706,77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26 177,36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4B2010" w:rsidRPr="004B2010" w:rsidTr="00077250">
        <w:trPr>
          <w:trHeight w:val="369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2 206 461,43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2 206 461,43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45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45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45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</w:t>
            </w: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8 877,43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lastRenderedPageBreak/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2 197 584,00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712 689,00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712 689,00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62 689,00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62 689,00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650 000,00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650 000,00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50 000,00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50202С1000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50202С1000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 на реализацию мероприятия «Подготовка  объектов теплоснабжения к прохождению отопительного периода»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20202Т1000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20202Т1000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бюджетные ассигнования</w:t>
            </w:r>
          </w:p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20202Т1000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450 000,00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450 000,00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межбюджетные трансферты на реализацию мероприятия «Подготовка  объектов водоснабжения к прохождению 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отопительного периода»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50202Ф1000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50202Ф1000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384 895,00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3 021 136,30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3 021 136,30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 программные направления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 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222 600,00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деятельности по обработке, утилизации, обезвреживанию, захоронению ТКО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6500200200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6500200200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87 600,00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6500240090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 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6500240090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67 500,00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на создание мест (площадок) накопления ТКО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05 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S0090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05 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65002S0090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67 500.00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2 798 536,30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«Уличное освещение»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5020301000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</w:t>
            </w: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5020301000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219 864,97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5020302000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418 516,21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418 516,21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418 576,21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418 576,21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31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5020304000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5020304000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189 881,44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 «Благоустройство детской площадки </w:t>
            </w:r>
            <w:proofErr w:type="gram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Ново-Кусково»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5020305000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5020305000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362 282,86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Мероприятие «Благоустройство сельского кладбища  </w:t>
            </w:r>
            <w:proofErr w:type="gramStart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Ново-Кусково»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5020306000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5020306000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Иные межбюджетные трансферты на мероприятие «Благоустройство сельского кладбища </w:t>
            </w:r>
            <w:proofErr w:type="gramStart"/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с. Ново-Кусково»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50203L5760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50203L5760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666 666.67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реализацию мероприятии «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Софинансирование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</w:t>
            </w: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образований Томской области, отобранных на конкурсной основе»</w:t>
            </w:r>
            <w:proofErr w:type="gramEnd"/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5020340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М20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502034М20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741 324,15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Не программное направление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154 459,56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6500240190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6500240190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123 689,70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на ликвидацию несанкционированных свалок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0190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30 769,86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Основное мероприятие: «Оказание содействия в </w:t>
            </w: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части создания условий по развитию социальных отраслей»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142 020,00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142 020,00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5010102000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142 020,00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Непрограммное направление расходов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6500000000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непрограммные расходы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594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Реализация функций связанных с предоставлением льгот за звание «Почетный гражданин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сельского поселения»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1 551,72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6500200600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1551,72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1551,72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Муниципальная программа «Создание условий для развития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>Новокусковского</w:t>
            </w:r>
            <w:proofErr w:type="spellEnd"/>
            <w:r w:rsidRPr="004B2010">
              <w:rPr>
                <w:rFonts w:ascii="Times New Roman" w:eastAsia="Times New Roman" w:hAnsi="Times New Roman" w:cs="Times New Roman"/>
                <w:b/>
                <w:i/>
                <w:color w:val="000000"/>
                <w:sz w:val="21"/>
                <w:szCs w:val="21"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5000000000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11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5010000000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11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5010100000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11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5010103000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24 700,00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1110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5010103000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10 700,00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10 700,00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684"/>
        </w:trPr>
        <w:tc>
          <w:tcPr>
            <w:tcW w:w="2725" w:type="dxa"/>
          </w:tcPr>
          <w:p w:rsidR="004B2010" w:rsidRPr="004B2010" w:rsidRDefault="004B2010" w:rsidP="004B2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6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2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38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5010103000</w:t>
            </w:r>
          </w:p>
        </w:tc>
        <w:tc>
          <w:tcPr>
            <w:tcW w:w="879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14 000,00</w:t>
            </w:r>
          </w:p>
        </w:tc>
        <w:tc>
          <w:tcPr>
            <w:tcW w:w="1470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14 000,00</w:t>
            </w:r>
          </w:p>
        </w:tc>
        <w:tc>
          <w:tcPr>
            <w:tcW w:w="798" w:type="dxa"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4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4B2010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B2010" w:rsidRDefault="004B2010" w:rsidP="004C2C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от </w:t>
      </w:r>
      <w:r w:rsidR="004C2CF6">
        <w:rPr>
          <w:rFonts w:ascii="Times New Roman" w:eastAsia="Times New Roman" w:hAnsi="Times New Roman" w:cs="Times New Roman"/>
          <w:iCs/>
          <w:lang w:eastAsia="ru-RU"/>
        </w:rPr>
        <w:t>07.04.2021</w:t>
      </w: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4C2CF6">
        <w:rPr>
          <w:rFonts w:ascii="Times New Roman" w:eastAsia="Times New Roman" w:hAnsi="Times New Roman" w:cs="Times New Roman"/>
          <w:iCs/>
          <w:lang w:eastAsia="ru-RU"/>
        </w:rPr>
        <w:t>183</w:t>
      </w:r>
    </w:p>
    <w:p w:rsidR="004C2CF6" w:rsidRPr="004B2010" w:rsidRDefault="004C2CF6" w:rsidP="004C2CF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4B2010" w:rsidRPr="004B2010" w:rsidRDefault="004B2010" w:rsidP="004B20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Исполнение расходов  бюджета муниципального образования </w:t>
      </w:r>
      <w:proofErr w:type="spellStart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сельское поселение </w:t>
      </w:r>
      <w:r w:rsidRPr="004B201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Асиновского района Томской области</w:t>
      </w:r>
      <w:r w:rsidRPr="004B201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по разделам и подразделам классификации расходов бюджета</w:t>
      </w: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77"/>
        <w:gridCol w:w="1987"/>
        <w:gridCol w:w="1843"/>
        <w:gridCol w:w="1701"/>
        <w:gridCol w:w="1157"/>
      </w:tblGrid>
      <w:tr w:rsidR="004B2010" w:rsidRPr="004B2010" w:rsidTr="00077250">
        <w:trPr>
          <w:trHeight w:val="253"/>
        </w:trPr>
        <w:tc>
          <w:tcPr>
            <w:tcW w:w="33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Наименование КФСР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КФСР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План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Факт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Исполнение %</w:t>
            </w:r>
          </w:p>
        </w:tc>
      </w:tr>
      <w:tr w:rsidR="004B2010" w:rsidRPr="004B2010" w:rsidTr="00077250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B2010" w:rsidRPr="004B2010" w:rsidTr="00077250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B2010" w:rsidRPr="004B2010" w:rsidTr="00077250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B2010" w:rsidRPr="004B2010" w:rsidTr="00077250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B2010" w:rsidRPr="004B2010" w:rsidTr="00077250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B2010" w:rsidRPr="004B2010" w:rsidTr="00077250">
        <w:trPr>
          <w:trHeight w:val="253"/>
        </w:trPr>
        <w:tc>
          <w:tcPr>
            <w:tcW w:w="33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4B2010" w:rsidRPr="004B2010" w:rsidTr="00077250">
        <w:trPr>
          <w:trHeight w:val="80"/>
        </w:trPr>
        <w:tc>
          <w:tcPr>
            <w:tcW w:w="3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*** 960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15 748 736,54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15 353 207,13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6 284 658,39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6 284 658,39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801 470,90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801 470,90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10 000,00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90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4 574 263,74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4 574 263,74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898 923,75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898 923,75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276 400,00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276 400,00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276 400,00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278 620,00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122 620,00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122 620,00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450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156 000,00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2 871 939,75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2 871 939,75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67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Сельское хозяйство и </w:t>
            </w:r>
            <w:proofErr w:type="spellStart"/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рыболодство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169 788,50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169 788,50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2 585 151,25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2 585 151,25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0412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117 000,00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5 714 387,12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5 318 857,71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93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0501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486 789,39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91 259,98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18,7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0502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2 206 461,43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2 206 461,43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3 021 136,30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3 021 136,30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ОКРУЖАЮЩЕЙ СРЕДЫ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154 459,56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154 459,56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154 459,56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154 459,56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142 020,00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142 020,00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142 020,00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1 551,72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1 551,72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1 551,72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24 700,00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4B2010" w:rsidRPr="004B2010" w:rsidTr="00077250">
        <w:trPr>
          <w:trHeight w:val="255"/>
        </w:trPr>
        <w:tc>
          <w:tcPr>
            <w:tcW w:w="33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2010" w:rsidRPr="004B2010" w:rsidRDefault="004B2010" w:rsidP="004B20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24 700,00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2010" w:rsidRPr="004B2010" w:rsidRDefault="004B2010" w:rsidP="004B2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</w:tr>
    </w:tbl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lastRenderedPageBreak/>
        <w:t>Приложение № 5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УТВЕРЖДЕНО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Решением Совета </w:t>
      </w:r>
      <w:proofErr w:type="spellStart"/>
      <w:r w:rsidRPr="004B2010">
        <w:rPr>
          <w:rFonts w:ascii="Times New Roman" w:eastAsia="Times New Roman" w:hAnsi="Times New Roman" w:cs="Times New Roman"/>
          <w:iCs/>
          <w:lang w:eastAsia="ru-RU"/>
        </w:rPr>
        <w:t>Новокусковского</w:t>
      </w:r>
      <w:proofErr w:type="spellEnd"/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4B2010" w:rsidRPr="004B2010" w:rsidRDefault="004B2010" w:rsidP="004B201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от </w:t>
      </w:r>
      <w:r w:rsidR="004C2CF6">
        <w:rPr>
          <w:rFonts w:ascii="Times New Roman" w:eastAsia="Times New Roman" w:hAnsi="Times New Roman" w:cs="Times New Roman"/>
          <w:iCs/>
          <w:lang w:eastAsia="ru-RU"/>
        </w:rPr>
        <w:t>07.04.2021</w:t>
      </w:r>
      <w:r w:rsidRPr="004B2010">
        <w:rPr>
          <w:rFonts w:ascii="Times New Roman" w:eastAsia="Times New Roman" w:hAnsi="Times New Roman" w:cs="Times New Roman"/>
          <w:iCs/>
          <w:lang w:eastAsia="ru-RU"/>
        </w:rPr>
        <w:t xml:space="preserve"> № </w:t>
      </w:r>
      <w:r w:rsidR="004C2CF6">
        <w:rPr>
          <w:rFonts w:ascii="Times New Roman" w:eastAsia="Times New Roman" w:hAnsi="Times New Roman" w:cs="Times New Roman"/>
          <w:iCs/>
          <w:lang w:eastAsia="ru-RU"/>
        </w:rPr>
        <w:t>183</w:t>
      </w:r>
    </w:p>
    <w:p w:rsidR="004B2010" w:rsidRPr="004B2010" w:rsidRDefault="004B2010" w:rsidP="004B2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 </w:t>
      </w:r>
      <w:proofErr w:type="gramStart"/>
      <w:r w:rsidRPr="004B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4B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B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4B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Асиновского района Томской области</w:t>
      </w:r>
      <w:r w:rsidR="004C2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источников финансирования дефицита бюджета</w:t>
      </w: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2010" w:rsidRPr="004B2010" w:rsidRDefault="004B2010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2631"/>
        <w:gridCol w:w="1951"/>
        <w:gridCol w:w="1982"/>
      </w:tblGrid>
      <w:tr w:rsidR="004B2010" w:rsidRPr="004B2010" w:rsidTr="00077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Код источника</w:t>
            </w:r>
          </w:p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</w:t>
            </w:r>
          </w:p>
        </w:tc>
      </w:tr>
      <w:tr w:rsidR="004B2010" w:rsidRPr="004B2010" w:rsidTr="000772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01050000000000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 xml:space="preserve"> -980 916,83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10" w:rsidRPr="004B2010" w:rsidRDefault="004B2010" w:rsidP="004B2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010">
              <w:rPr>
                <w:rFonts w:ascii="Times New Roman" w:eastAsia="Times New Roman" w:hAnsi="Times New Roman" w:cs="Times New Roman"/>
                <w:lang w:eastAsia="ru-RU"/>
              </w:rPr>
              <w:t>-648 056,12</w:t>
            </w:r>
          </w:p>
        </w:tc>
      </w:tr>
    </w:tbl>
    <w:p w:rsidR="004B2010" w:rsidRPr="004B2010" w:rsidRDefault="004B2010" w:rsidP="004B2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2010" w:rsidRDefault="004B2010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Default="004C2CF6" w:rsidP="004B2010"/>
    <w:p w:rsidR="004C2CF6" w:rsidRPr="004B2010" w:rsidRDefault="004C2CF6" w:rsidP="004B2010">
      <w:bookmarkStart w:id="0" w:name="_GoBack"/>
      <w:bookmarkEnd w:id="0"/>
    </w:p>
    <w:sectPr w:rsidR="004C2CF6" w:rsidRPr="004B2010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140CAA"/>
    <w:rsid w:val="00171AD4"/>
    <w:rsid w:val="003E198B"/>
    <w:rsid w:val="00452BE8"/>
    <w:rsid w:val="004B2010"/>
    <w:rsid w:val="004C2CF6"/>
    <w:rsid w:val="005405F1"/>
    <w:rsid w:val="00770E26"/>
    <w:rsid w:val="00867325"/>
    <w:rsid w:val="00A31532"/>
    <w:rsid w:val="00AA6A81"/>
    <w:rsid w:val="00B74846"/>
    <w:rsid w:val="00BA6142"/>
    <w:rsid w:val="00C80A1B"/>
    <w:rsid w:val="00CE1494"/>
    <w:rsid w:val="00CF54B8"/>
    <w:rsid w:val="00F31A29"/>
    <w:rsid w:val="00F4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2021-04-07T05:09:00Z</cp:lastPrinted>
  <dcterms:created xsi:type="dcterms:W3CDTF">2021-03-23T06:27:00Z</dcterms:created>
  <dcterms:modified xsi:type="dcterms:W3CDTF">2021-04-08T03:00:00Z</dcterms:modified>
</cp:coreProperties>
</file>